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Prince George MAVS Tablet Setup and Testing Guide</w:t>
      </w:r>
    </w:p>
    <w:p>
      <w:pPr>
        <w:spacing w:after="240"/>
        <w:jc w:val="center"/>
      </w:pPr>
      <w:r>
        <w:rPr>
          <w:rFonts w:ascii="Arial" w:hAnsi="Arial"/>
          <w:sz w:val="20"/>
        </w:rPr>
        <w:t>Prepared for setting up Samsung Tab Active5 Pro tablets for Prince George field testing</w:t>
      </w:r>
    </w:p>
    <w:p>
      <w:pPr>
        <w:spacing w:after="120"/>
      </w:pPr>
      <w:r>
        <w:rPr>
          <w:rFonts w:ascii="Arial" w:hAnsi="Arial"/>
          <w:b/>
          <w:sz w:val="20"/>
        </w:rPr>
        <w:t>Purpose:</w:t>
      </w:r>
      <w:r>
        <w:rPr>
          <w:rFonts w:ascii="Arial" w:hAnsi="Arial"/>
          <w:sz w:val="20"/>
        </w:rPr>
        <w:t xml:space="preserve"> This guide explains what to copy onto the tablet, how to verify the Prince George MAVS app before field use, and how to keep Mathews and Prince George work separated on the same computer or tablet.</w:t>
      </w:r>
    </w:p>
    <w:p>
      <w:pPr>
        <w:spacing w:after="120"/>
      </w:pPr>
      <w:r>
        <w:rPr>
          <w:rFonts w:ascii="Arial" w:hAnsi="Arial"/>
          <w:b/>
          <w:sz w:val="20"/>
        </w:rPr>
        <w:t>Main rule:</w:t>
      </w:r>
      <w:r>
        <w:rPr>
          <w:rFonts w:ascii="Arial" w:hAnsi="Arial"/>
          <w:sz w:val="20"/>
        </w:rPr>
        <w:t xml:space="preserve"> test one tablet first. If that tablet validates the package, opens the map, opens PDFs, searches correctly, and works in airplane mode, then repeat the same process on the other tablets.</w:t>
      </w:r>
    </w:p>
    <w:p>
      <w:pPr>
        <w:pStyle w:val="Heading1"/>
      </w:pPr>
      <w:r>
        <w:rPr>
          <w:rFonts w:ascii="Arial" w:hAnsi="Arial"/>
          <w:color w:val="000000"/>
        </w:rPr>
        <w:t>Current Prince George Package</w:t>
      </w:r>
    </w:p>
    <w:tbl>
      <w:tblPr>
        <w:tblW w:type="auto" w:w="0"/>
        <w:tblLayout w:type="fixed"/>
        <w:tblLook w:firstColumn="1" w:firstRow="1" w:lastColumn="0" w:lastRow="0" w:noHBand="0" w:noVBand="1" w:val="04A0"/>
      </w:tblPr>
      <w:tblGrid>
        <w:gridCol w:w="2880"/>
        <w:gridCol w:w="6768"/>
      </w:tblGrid>
      <w:tr>
        <w:tc>
          <w:tcPr>
            <w:tcW w:type="dxa" w:w="5184"/>
            <w:shd w:fill="1F4E79"/>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Pr>
                <w:color w:val="FFFFFF"/>
              </w:rPr>
            </w:r>
            <w:r>
              <w:rPr>
                <w:rFonts w:ascii="Arial" w:hAnsi="Arial"/>
                <w:b/>
                <w:color w:val="FFFFFF"/>
                <w:sz w:val="18"/>
              </w:rPr>
              <w:t>Item</w:t>
            </w:r>
          </w:p>
        </w:tc>
        <w:tc>
          <w:tcPr>
            <w:tcW w:type="dxa" w:w="5184"/>
            <w:shd w:fill="1F4E79"/>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Pr>
                <w:color w:val="FFFFFF"/>
              </w:rPr>
            </w:r>
            <w:r>
              <w:rPr>
                <w:rFonts w:ascii="Arial" w:hAnsi="Arial"/>
                <w:b/>
                <w:color w:val="FFFFFF"/>
                <w:sz w:val="18"/>
              </w:rPr>
              <w:t>Value or instruction</w:t>
            </w:r>
          </w:p>
        </w:tc>
      </w:tr>
      <w:tr>
        <w:tc>
          <w:tcPr>
            <w:tcW w:type="dxa" w:w="28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color w:val="000000"/>
                <w:sz w:val="18"/>
              </w:rPr>
              <w:t>Computer package folder</w:t>
            </w:r>
          </w:p>
        </w:tc>
        <w:tc>
          <w:tcPr>
            <w:tcW w:type="dxa" w:w="676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C:\2027 prince george desk review\mavs fieldwork prep\tablet_package_prince_george_2026-10-09</w:t>
            </w:r>
          </w:p>
        </w:tc>
      </w:tr>
      <w:tr>
        <w:tc>
          <w:tcPr>
            <w:tcW w:type="dxa" w:w="28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color w:val="000000"/>
                <w:sz w:val="18"/>
              </w:rPr>
              <w:t>Tablet folder to copy</w:t>
            </w:r>
          </w:p>
        </w:tc>
        <w:tc>
          <w:tcPr>
            <w:tcW w:type="dxa" w:w="676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MAVS\PrinceGeorge</w:t>
            </w:r>
          </w:p>
        </w:tc>
      </w:tr>
      <w:tr>
        <w:tc>
          <w:tcPr>
            <w:tcW w:type="dxa" w:w="28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color w:val="000000"/>
                <w:sz w:val="18"/>
              </w:rPr>
              <w:t>Tablet destination</w:t>
            </w:r>
          </w:p>
        </w:tc>
        <w:tc>
          <w:tcPr>
            <w:tcW w:type="dxa" w:w="676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Internal storage\MAVS\PrinceGeorge</w:t>
            </w:r>
          </w:p>
        </w:tc>
      </w:tr>
      <w:tr>
        <w:tc>
          <w:tcPr>
            <w:tcW w:type="dxa" w:w="28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color w:val="000000"/>
                <w:sz w:val="18"/>
              </w:rPr>
              <w:t>APK</w:t>
            </w:r>
          </w:p>
        </w:tc>
        <w:tc>
          <w:tcPr>
            <w:tcW w:type="dxa" w:w="676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tablet_package_prince_george_2026-10-09\apk\app-princeGeorge-release.apk</w:t>
            </w:r>
          </w:p>
        </w:tc>
      </w:tr>
      <w:tr>
        <w:tc>
          <w:tcPr>
            <w:tcW w:type="dxa" w:w="28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color w:val="000000"/>
                <w:sz w:val="18"/>
              </w:rPr>
              <w:t>Live project name</w:t>
            </w:r>
          </w:p>
        </w:tc>
        <w:tc>
          <w:tcPr>
            <w:tcW w:type="dxa" w:w="676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Prince George 27 Fieldword</w:t>
            </w:r>
          </w:p>
        </w:tc>
      </w:tr>
      <w:tr>
        <w:tc>
          <w:tcPr>
            <w:tcW w:type="dxa" w:w="28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color w:val="000000"/>
                <w:sz w:val="18"/>
              </w:rPr>
              <w:t>Live project id</w:t>
            </w:r>
          </w:p>
        </w:tc>
        <w:tc>
          <w:tcPr>
            <w:tcW w:type="dxa" w:w="676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efdd0a0b-0513-4b5e-914b-14cda9bb8f9e</w:t>
            </w:r>
          </w:p>
        </w:tc>
      </w:tr>
      <w:tr>
        <w:tc>
          <w:tcPr>
            <w:tcW w:type="dxa" w:w="28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color w:val="000000"/>
                <w:sz w:val="18"/>
              </w:rPr>
              <w:t>Parcel count</w:t>
            </w:r>
          </w:p>
        </w:tc>
        <w:tc>
          <w:tcPr>
            <w:tcW w:type="dxa" w:w="676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2,335 parcels</w:t>
            </w:r>
          </w:p>
        </w:tc>
      </w:tr>
      <w:tr>
        <w:tc>
          <w:tcPr>
            <w:tcW w:type="dxa" w:w="28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color w:val="000000"/>
                <w:sz w:val="18"/>
              </w:rPr>
              <w:t>Region codes</w:t>
            </w:r>
          </w:p>
        </w:tc>
        <w:tc>
          <w:tcPr>
            <w:tcW w:type="dxa" w:w="676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02002, 02003, 02013, 03100, 04008, 07014, 08007</w:t>
            </w:r>
          </w:p>
        </w:tc>
      </w:tr>
      <w:tr>
        <w:tc>
          <w:tcPr>
            <w:tcW w:type="dxa" w:w="28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color w:val="000000"/>
                <w:sz w:val="18"/>
              </w:rPr>
              <w:t>Vacant improved counts</w:t>
            </w:r>
          </w:p>
        </w:tc>
        <w:tc>
          <w:tcPr>
            <w:tcW w:type="dxa" w:w="676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294 likely vacant or no improvement value; 2,041 improved or has improvement value</w:t>
            </w:r>
          </w:p>
        </w:tc>
      </w:tr>
      <w:tr>
        <w:tc>
          <w:tcPr>
            <w:tcW w:type="dxa" w:w="28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color w:val="000000"/>
                <w:sz w:val="18"/>
              </w:rPr>
              <w:t>PDF count</w:t>
            </w:r>
          </w:p>
        </w:tc>
        <w:tc>
          <w:tcPr>
            <w:tcW w:type="dxa" w:w="676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2,327 PDFs in the tablet package. Admin shows 2,324 of 2,335 linked.</w:t>
            </w:r>
          </w:p>
        </w:tc>
      </w:tr>
      <w:tr>
        <w:tc>
          <w:tcPr>
            <w:tcW w:type="dxa" w:w="28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color w:val="000000"/>
                <w:sz w:val="18"/>
              </w:rPr>
              <w:t>Offline aerials</w:t>
            </w:r>
          </w:p>
        </w:tc>
        <w:tc>
          <w:tcPr>
            <w:tcW w:type="dxa" w:w="676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Prince George VA 51149, zoom 14 through 18, verified by manifest and SHA256.</w:t>
            </w:r>
          </w:p>
        </w:tc>
      </w:tr>
    </w:tbl>
    <w:p/>
    <w:p>
      <w:pPr>
        <w:pStyle w:val="Heading1"/>
      </w:pPr>
      <w:r>
        <w:rPr>
          <w:rFonts w:ascii="Arial" w:hAnsi="Arial"/>
          <w:color w:val="000000"/>
        </w:rPr>
        <w:t>One Tablet Setup Steps</w:t>
      </w:r>
    </w:p>
    <w:p>
      <w:pPr>
        <w:pStyle w:val="ListNumber"/>
        <w:spacing w:after="40"/>
      </w:pPr>
      <w:r>
        <w:rPr>
          <w:rFonts w:ascii="Arial" w:hAnsi="Arial"/>
          <w:sz w:val="20"/>
        </w:rPr>
        <w:t>Use one tablet first. Do not set up all four tablets until this one passes the smoke test.</w:t>
      </w:r>
    </w:p>
    <w:p>
      <w:pPr>
        <w:pStyle w:val="ListNumber"/>
        <w:spacing w:after="40"/>
      </w:pPr>
      <w:r>
        <w:rPr>
          <w:rFonts w:ascii="Arial" w:hAnsi="Arial"/>
          <w:sz w:val="20"/>
        </w:rPr>
        <w:t>Install the Prince George APK from the package folder. This should create a separate Prince George app from the Mathews app.</w:t>
      </w:r>
    </w:p>
    <w:p>
      <w:pPr>
        <w:pStyle w:val="ListNumber"/>
        <w:spacing w:after="40"/>
      </w:pPr>
      <w:r>
        <w:rPr>
          <w:rFonts w:ascii="Arial" w:hAnsi="Arial"/>
          <w:sz w:val="20"/>
        </w:rPr>
        <w:t>Connect the tablet to the computer by USB and open the tablet's Internal storage.</w:t>
      </w:r>
    </w:p>
    <w:p>
      <w:pPr>
        <w:pStyle w:val="ListNumber"/>
        <w:spacing w:after="40"/>
      </w:pPr>
      <w:r>
        <w:rPr>
          <w:rFonts w:ascii="Arial" w:hAnsi="Arial"/>
          <w:sz w:val="20"/>
        </w:rPr>
        <w:t>Copy the entire MAVS\PrinceGeorge folder from the package folder to the tablet's Internal storage root.</w:t>
      </w:r>
    </w:p>
    <w:p>
      <w:pPr>
        <w:pStyle w:val="ListNumber"/>
        <w:spacing w:after="40"/>
      </w:pPr>
      <w:r>
        <w:rPr>
          <w:rFonts w:ascii="Arial" w:hAnsi="Arial"/>
          <w:sz w:val="20"/>
        </w:rPr>
        <w:t>Confirm the tablet contains Internal storage\MAVS\PrinceGeorge\config\parcels-package.json.</w:t>
      </w:r>
    </w:p>
    <w:p>
      <w:pPr>
        <w:pStyle w:val="ListNumber"/>
        <w:spacing w:after="40"/>
      </w:pPr>
      <w:r>
        <w:rPr>
          <w:rFonts w:ascii="Arial" w:hAnsi="Arial"/>
          <w:sz w:val="20"/>
        </w:rPr>
        <w:t>Confirm the tablet contains Internal storage\MAVS\PrinceGeorge\offline\prince_george_va_51149_z14_z18_aerials.mbtiles.</w:t>
      </w:r>
    </w:p>
    <w:p>
      <w:pPr>
        <w:pStyle w:val="ListNumber"/>
        <w:spacing w:after="40"/>
      </w:pPr>
      <w:r>
        <w:rPr>
          <w:rFonts w:ascii="Arial" w:hAnsi="Arial"/>
          <w:sz w:val="20"/>
        </w:rPr>
        <w:t>Confirm the tablet contains Internal storage\MAVS\PrinceGeorge\original_pdfs and Internal storage\MAVS\PrinceGeorge\templates.</w:t>
      </w:r>
    </w:p>
    <w:p>
      <w:pPr>
        <w:pStyle w:val="ListNumber"/>
        <w:spacing w:after="40"/>
      </w:pPr>
      <w:r>
        <w:rPr>
          <w:rFonts w:ascii="Arial" w:hAnsi="Arial"/>
          <w:sz w:val="20"/>
        </w:rPr>
        <w:t>Open the Prince George MAVS app while online and sign in with the correct field tech account.</w:t>
      </w:r>
    </w:p>
    <w:p>
      <w:pPr>
        <w:pStyle w:val="ListNumber"/>
        <w:spacing w:after="40"/>
      </w:pPr>
      <w:r>
        <w:rPr>
          <w:rFonts w:ascii="Arial" w:hAnsi="Arial"/>
          <w:sz w:val="20"/>
        </w:rPr>
        <w:t>Let the app validate the package. It should report roughly 2,335 parcels for Prince George.</w:t>
      </w:r>
    </w:p>
    <w:p>
      <w:pPr>
        <w:pStyle w:val="Heading1"/>
      </w:pPr>
      <w:r>
        <w:rPr>
          <w:rFonts w:ascii="Arial" w:hAnsi="Arial"/>
          <w:color w:val="000000"/>
        </w:rPr>
        <w:t>Manual Transfer Versus Website And App</w:t>
      </w:r>
    </w:p>
    <w:p>
      <w:pPr>
        <w:spacing w:after="120"/>
      </w:pPr>
      <w:r>
        <w:rPr>
          <w:rFonts w:ascii="Arial" w:hAnsi="Arial"/>
          <w:b/>
          <w:sz w:val="20"/>
        </w:rPr>
        <w:t>Important:</w:t>
      </w:r>
      <w:r>
        <w:rPr>
          <w:rFonts w:ascii="Arial" w:hAnsi="Arial"/>
          <w:sz w:val="20"/>
        </w:rPr>
        <w:t xml:space="preserve"> the Android app and the website do not automatically carry the large Prince George field package. The app knows where to look for files, but the large county data must be placed on the tablet.</w:t>
      </w:r>
    </w:p>
    <w:tbl>
      <w:tblPr>
        <w:tblW w:type="auto" w:w="0"/>
        <w:tblLayout w:type="fixed"/>
        <w:tblLook w:firstColumn="1" w:firstRow="1" w:lastColumn="0" w:lastRow="0" w:noHBand="0" w:noVBand="1" w:val="04A0"/>
      </w:tblPr>
      <w:tblGrid>
        <w:gridCol w:w="2232"/>
        <w:gridCol w:w="3384"/>
        <w:gridCol w:w="4032"/>
      </w:tblGrid>
      <w:tr>
        <w:tc>
          <w:tcPr>
            <w:tcW w:type="dxa" w:w="3456"/>
            <w:shd w:fill="1F4E79"/>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Pr>
                <w:color w:val="FFFFFF"/>
              </w:rPr>
            </w:r>
            <w:r>
              <w:rPr>
                <w:rFonts w:ascii="Arial" w:hAnsi="Arial"/>
                <w:b/>
                <w:color w:val="FFFFFF"/>
                <w:sz w:val="18"/>
              </w:rPr>
              <w:t>Item</w:t>
            </w:r>
          </w:p>
        </w:tc>
        <w:tc>
          <w:tcPr>
            <w:tcW w:type="dxa" w:w="3456"/>
            <w:shd w:fill="1F4E79"/>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Pr>
                <w:color w:val="FFFFFF"/>
              </w:rPr>
            </w:r>
            <w:r>
              <w:rPr>
                <w:rFonts w:ascii="Arial" w:hAnsi="Arial"/>
                <w:b/>
                <w:color w:val="FFFFFF"/>
                <w:sz w:val="18"/>
              </w:rPr>
              <w:t>How it gets to the tablet</w:t>
            </w:r>
          </w:p>
        </w:tc>
        <w:tc>
          <w:tcPr>
            <w:tcW w:type="dxa" w:w="3456"/>
            <w:shd w:fill="1F4E79"/>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Pr>
                <w:color w:val="FFFFFF"/>
              </w:rPr>
            </w:r>
            <w:r>
              <w:rPr>
                <w:rFonts w:ascii="Arial" w:hAnsi="Arial"/>
                <w:b/>
                <w:color w:val="FFFFFF"/>
                <w:sz w:val="18"/>
              </w:rPr>
              <w:t>Notes</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Prince George APK</w:t>
            </w:r>
          </w:p>
        </w:tc>
        <w:tc>
          <w:tcPr>
            <w:tcW w:type="dxa" w:w="338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Install from the website download link if available, or from the local apk folder.</w:t>
            </w:r>
          </w:p>
        </w:tc>
        <w:tc>
          <w:tcPr>
            <w:tcW w:type="dxa" w:w="40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Local copy is in tablet_package_prince_george_2026-10-09\apk.</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parcels-package.json</w:t>
            </w:r>
          </w:p>
        </w:tc>
        <w:tc>
          <w:tcPr>
            <w:tcW w:type="dxa" w:w="338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Manual copy inside MAVS\PrinceGeorge\config.</w:t>
            </w:r>
          </w:p>
        </w:tc>
        <w:tc>
          <w:tcPr>
            <w:tcW w:type="dxa" w:w="40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This contains the real live project id and all 2,335 parcel records.</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Offline aerial MBTiles</w:t>
            </w:r>
          </w:p>
        </w:tc>
        <w:tc>
          <w:tcPr>
            <w:tcW w:type="dxa" w:w="338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Manual copy inside MAVS\PrinceGeorge\offline.</w:t>
            </w:r>
          </w:p>
        </w:tc>
        <w:tc>
          <w:tcPr>
            <w:tcW w:type="dxa" w:w="40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This is about 2.8 GB and should be moved by USB cable, external hard drive, or direct computer-to-tablet transfer.</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Offline manifest and SHA file</w:t>
            </w:r>
          </w:p>
        </w:tc>
        <w:tc>
          <w:tcPr>
            <w:tcW w:type="dxa" w:w="338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Manual copy inside MAVS\PrinceGeorge\offline.</w:t>
            </w:r>
          </w:p>
        </w:tc>
        <w:tc>
          <w:tcPr>
            <w:tcW w:type="dxa" w:w="40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These let the app validate that the aerial package is the correct Prince George package.</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Original record-card PDFs</w:t>
            </w:r>
          </w:p>
        </w:tc>
        <w:tc>
          <w:tcPr>
            <w:tcW w:type="dxa" w:w="338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Manual copy inside MAVS\PrinceGeorge\original_pdfs.</w:t>
            </w:r>
          </w:p>
        </w:tc>
        <w:tc>
          <w:tcPr>
            <w:tcW w:type="dxa" w:w="40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There are 2,327 PDFs in the package. This is too large and too important to rely on field download.</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Project form templates</w:t>
            </w:r>
          </w:p>
        </w:tc>
        <w:tc>
          <w:tcPr>
            <w:tcW w:type="dxa" w:w="338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Manual copy inside MAVS\PrinceGeorge\templates.</w:t>
            </w:r>
          </w:p>
        </w:tc>
        <w:tc>
          <w:tcPr>
            <w:tcW w:type="dxa" w:w="40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The templates also exist in admin, but copying them locally makes the first offline test safer.</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Login and permissions</w:t>
            </w:r>
          </w:p>
        </w:tc>
        <w:tc>
          <w:tcPr>
            <w:tcW w:type="dxa" w:w="338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Comes through the app and Supabase when online.</w:t>
            </w:r>
          </w:p>
        </w:tc>
        <w:tc>
          <w:tcPr>
            <w:tcW w:type="dxa" w:w="40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The user signs in; Supabase confirms access to the Prince George project.</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Sync submissions</w:t>
            </w:r>
          </w:p>
        </w:tc>
        <w:tc>
          <w:tcPr>
            <w:tcW w:type="dxa" w:w="338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Comes through the app and Supabase when online.</w:t>
            </w:r>
          </w:p>
        </w:tc>
        <w:tc>
          <w:tcPr>
            <w:tcW w:type="dxa" w:w="40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Completed parcel work uploads to the live Prince George project id in the package.</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Daily Update status</w:t>
            </w:r>
          </w:p>
        </w:tc>
        <w:tc>
          <w:tcPr>
            <w:tcW w:type="dxa" w:w="338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Comes through the app and Supabase when online.</w:t>
            </w:r>
          </w:p>
        </w:tc>
        <w:tc>
          <w:tcPr>
            <w:tcW w:type="dxa" w:w="40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This pulls current project status, completed parcels, notes, permit markers, and overlays when available.</w:t>
            </w:r>
          </w:p>
        </w:tc>
      </w:tr>
    </w:tbl>
    <w:p/>
    <w:p>
      <w:pPr>
        <w:spacing w:after="120"/>
      </w:pPr>
      <w:r>
        <w:rPr>
          <w:rFonts w:ascii="Arial" w:hAnsi="Arial"/>
          <w:b/>
          <w:sz w:val="20"/>
        </w:rPr>
        <w:t>Practical transfer rule:</w:t>
      </w:r>
      <w:r>
        <w:rPr>
          <w:rFonts w:ascii="Arial" w:hAnsi="Arial"/>
          <w:sz w:val="20"/>
        </w:rPr>
        <w:t xml:space="preserve"> copy the whole MAVS\PrinceGeorge folder as one unit. Do not pick individual files unless you are troubleshooting, because the config, offline tiles, PDFs, and templates are meant to travel together.</w:t>
      </w:r>
    </w:p>
    <w:p>
      <w:pPr>
        <w:pStyle w:val="Heading1"/>
      </w:pPr>
      <w:r>
        <w:rPr>
          <w:rFonts w:ascii="Arial" w:hAnsi="Arial"/>
          <w:color w:val="000000"/>
        </w:rPr>
        <w:t>First Tablet Smoke Test</w:t>
      </w:r>
    </w:p>
    <w:p>
      <w:pPr>
        <w:spacing w:after="40"/>
        <w:ind w:left="216"/>
      </w:pPr>
      <w:r>
        <w:rPr>
          <w:rFonts w:ascii="Arial" w:hAnsi="Arial"/>
          <w:sz w:val="20"/>
        </w:rPr>
        <w:t>[ ] App opens as the Prince George app, not the Mathews app.</w:t>
      </w:r>
    </w:p>
    <w:p>
      <w:pPr>
        <w:spacing w:after="40"/>
        <w:ind w:left="216"/>
      </w:pPr>
      <w:r>
        <w:rPr>
          <w:rFonts w:ascii="Arial" w:hAnsi="Arial"/>
          <w:sz w:val="20"/>
        </w:rPr>
        <w:t>[ ] Package validation succeeds.</w:t>
      </w:r>
    </w:p>
    <w:p>
      <w:pPr>
        <w:spacing w:after="40"/>
        <w:ind w:left="216"/>
      </w:pPr>
      <w:r>
        <w:rPr>
          <w:rFonts w:ascii="Arial" w:hAnsi="Arial"/>
          <w:sz w:val="20"/>
        </w:rPr>
        <w:t>[ ] Map opens and shows Prince George parcels.</w:t>
      </w:r>
    </w:p>
    <w:p>
      <w:pPr>
        <w:spacing w:after="40"/>
        <w:ind w:left="216"/>
      </w:pPr>
      <w:r>
        <w:rPr>
          <w:rFonts w:ascii="Arial" w:hAnsi="Arial"/>
          <w:sz w:val="20"/>
        </w:rPr>
        <w:t>[ ] Regions appear and the seven region codes are available.</w:t>
      </w:r>
    </w:p>
    <w:p>
      <w:pPr>
        <w:spacing w:after="40"/>
        <w:ind w:left="216"/>
      </w:pPr>
      <w:r>
        <w:rPr>
          <w:rFonts w:ascii="Arial" w:hAnsi="Arial"/>
          <w:sz w:val="20"/>
        </w:rPr>
        <w:t>[ ] Vacant/improved display is present: vacant or no value parcels and improved parcels are distinguishable.</w:t>
      </w:r>
    </w:p>
    <w:p>
      <w:pPr>
        <w:spacing w:after="40"/>
        <w:ind w:left="216"/>
      </w:pPr>
      <w:r>
        <w:rPr>
          <w:rFonts w:ascii="Arial" w:hAnsi="Arial"/>
          <w:sz w:val="20"/>
        </w:rPr>
        <w:t>[ ] Search works by LRSN.</w:t>
      </w:r>
    </w:p>
    <w:p>
      <w:pPr>
        <w:spacing w:after="40"/>
        <w:ind w:left="216"/>
      </w:pPr>
      <w:r>
        <w:rPr>
          <w:rFonts w:ascii="Arial" w:hAnsi="Arial"/>
          <w:sz w:val="20"/>
        </w:rPr>
        <w:t>[ ] Search works by owner name.</w:t>
      </w:r>
    </w:p>
    <w:p>
      <w:pPr>
        <w:spacing w:after="40"/>
        <w:ind w:left="216"/>
      </w:pPr>
      <w:r>
        <w:rPr>
          <w:rFonts w:ascii="Arial" w:hAnsi="Arial"/>
          <w:sz w:val="20"/>
        </w:rPr>
        <w:t>[ ] Search works by address or partial address where address data exists.</w:t>
      </w:r>
    </w:p>
    <w:p>
      <w:pPr>
        <w:spacing w:after="40"/>
        <w:ind w:left="216"/>
      </w:pPr>
      <w:r>
        <w:rPr>
          <w:rFonts w:ascii="Arial" w:hAnsi="Arial"/>
          <w:sz w:val="20"/>
        </w:rPr>
        <w:t>[ ] Open a parcel and confirm the record card PDF opens.</w:t>
      </w:r>
    </w:p>
    <w:p>
      <w:pPr>
        <w:spacing w:after="40"/>
        <w:ind w:left="216"/>
      </w:pPr>
      <w:r>
        <w:rPr>
          <w:rFonts w:ascii="Arial" w:hAnsi="Arial"/>
          <w:sz w:val="20"/>
        </w:rPr>
        <w:t>[ ] Open the new construction and mobile home forms and confirm they load.</w:t>
      </w:r>
    </w:p>
    <w:p>
      <w:pPr>
        <w:spacing w:after="40"/>
        <w:ind w:left="216"/>
      </w:pPr>
      <w:r>
        <w:rPr>
          <w:rFonts w:ascii="Arial" w:hAnsi="Arial"/>
          <w:sz w:val="20"/>
        </w:rPr>
        <w:t>[ ] Turn on airplane mode and confirm the map and aerial imagery still draw.</w:t>
      </w:r>
    </w:p>
    <w:p>
      <w:pPr>
        <w:spacing w:after="40"/>
        <w:ind w:left="216"/>
      </w:pPr>
      <w:r>
        <w:rPr>
          <w:rFonts w:ascii="Arial" w:hAnsi="Arial"/>
          <w:sz w:val="20"/>
        </w:rPr>
        <w:t>[ ] Still in airplane mode, open a parcel and confirm the PDF can be read.</w:t>
      </w:r>
    </w:p>
    <w:p>
      <w:pPr>
        <w:spacing w:after="40"/>
        <w:ind w:left="216"/>
      </w:pPr>
      <w:r>
        <w:rPr>
          <w:rFonts w:ascii="Arial" w:hAnsi="Arial"/>
          <w:sz w:val="20"/>
        </w:rPr>
        <w:t>[ ] Turn airplane mode off, then use the app normally again.</w:t>
      </w:r>
    </w:p>
    <w:p>
      <w:pPr>
        <w:spacing w:after="120"/>
      </w:pPr>
      <w:r>
        <w:rPr>
          <w:rFonts w:ascii="Arial" w:hAnsi="Arial"/>
          <w:b/>
          <w:sz w:val="20"/>
        </w:rPr>
        <w:t>Safe testing note:</w:t>
      </w:r>
      <w:r>
        <w:rPr>
          <w:rFonts w:ascii="Arial" w:hAnsi="Arial"/>
          <w:sz w:val="20"/>
        </w:rPr>
        <w:t xml:space="preserve"> opening parcels and PDFs is safe. Do not finish a parcel and run sync unless you intend to create a real submission in the live Prince George project. If a full sync test is needed, use a clearly chosen test parcel and tell admin before syncing.</w:t>
      </w:r>
    </w:p>
    <w:p>
      <w:pPr>
        <w:pStyle w:val="Heading1"/>
      </w:pPr>
      <w:r>
        <w:rPr>
          <w:rFonts w:ascii="Arial" w:hAnsi="Arial"/>
          <w:color w:val="000000"/>
        </w:rPr>
        <w:t>Daily Field Use</w:t>
      </w:r>
    </w:p>
    <w:p>
      <w:pPr>
        <w:pStyle w:val="ListNumber"/>
        <w:spacing w:after="40"/>
      </w:pPr>
      <w:r>
        <w:rPr>
          <w:rFonts w:ascii="Arial" w:hAnsi="Arial"/>
          <w:sz w:val="20"/>
        </w:rPr>
        <w:t>Start the day online if possible. Open the correct county app and sign in before leaving WiFi.</w:t>
      </w:r>
    </w:p>
    <w:p>
      <w:pPr>
        <w:pStyle w:val="ListNumber"/>
        <w:spacing w:after="40"/>
      </w:pPr>
      <w:r>
        <w:rPr>
          <w:rFonts w:ascii="Arial" w:hAnsi="Arial"/>
          <w:sz w:val="20"/>
        </w:rPr>
        <w:t>Use the Daily Update button when online to pull the latest project status. On some screens this may be described as a project status update.</w:t>
      </w:r>
    </w:p>
    <w:p>
      <w:pPr>
        <w:pStyle w:val="ListNumber"/>
        <w:spacing w:after="40"/>
      </w:pPr>
      <w:r>
        <w:rPr>
          <w:rFonts w:ascii="Arial" w:hAnsi="Arial"/>
          <w:sz w:val="20"/>
        </w:rPr>
        <w:t>Sync pending work before running a Daily Update whenever possible.</w:t>
      </w:r>
    </w:p>
    <w:p>
      <w:pPr>
        <w:pStyle w:val="ListNumber"/>
        <w:spacing w:after="40"/>
      </w:pPr>
      <w:r>
        <w:rPr>
          <w:rFonts w:ascii="Arial" w:hAnsi="Arial"/>
          <w:sz w:val="20"/>
        </w:rPr>
        <w:t>If sync fails, do not reinstall, delete folders, or copy a replacement package over the tablet. Preserve the tablet and report the error.</w:t>
      </w:r>
    </w:p>
    <w:p>
      <w:pPr>
        <w:pStyle w:val="ListNumber"/>
        <w:spacing w:after="40"/>
      </w:pPr>
      <w:r>
        <w:rPr>
          <w:rFonts w:ascii="Arial" w:hAnsi="Arial"/>
          <w:sz w:val="20"/>
        </w:rPr>
        <w:t>At the end of the day, connect to WiFi and run sync until pending work is clear.</w:t>
      </w:r>
    </w:p>
    <w:p>
      <w:pPr>
        <w:pStyle w:val="ListNumber"/>
        <w:spacing w:after="40"/>
      </w:pPr>
      <w:r>
        <w:rPr>
          <w:rFonts w:ascii="Arial" w:hAnsi="Arial"/>
          <w:sz w:val="20"/>
        </w:rPr>
        <w:t>After successful sync, run Daily Update so the tablet can see work completed by other techs.</w:t>
      </w:r>
    </w:p>
    <w:p>
      <w:pPr>
        <w:pStyle w:val="Heading1"/>
      </w:pPr>
      <w:r>
        <w:rPr>
          <w:rFonts w:ascii="Arial" w:hAnsi="Arial"/>
          <w:color w:val="000000"/>
        </w:rPr>
        <w:t>Multiple Projects On One Tablet</w:t>
      </w:r>
    </w:p>
    <w:tbl>
      <w:tblPr>
        <w:tblW w:type="auto" w:w="0"/>
        <w:tblLayout w:type="fixed"/>
        <w:tblLook w:firstColumn="1" w:firstRow="1" w:lastColumn="0" w:lastRow="0" w:noHBand="0" w:noVBand="1" w:val="04A0"/>
      </w:tblPr>
      <w:tblGrid>
        <w:gridCol w:w="2232"/>
        <w:gridCol w:w="3384"/>
        <w:gridCol w:w="4032"/>
      </w:tblGrid>
      <w:tr>
        <w:tc>
          <w:tcPr>
            <w:tcW w:type="dxa" w:w="3456"/>
            <w:shd w:fill="1F4E79"/>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Pr>
                <w:color w:val="FFFFFF"/>
              </w:rPr>
            </w:r>
            <w:r>
              <w:rPr>
                <w:rFonts w:ascii="Arial" w:hAnsi="Arial"/>
                <w:b/>
                <w:color w:val="FFFFFF"/>
                <w:sz w:val="18"/>
              </w:rPr>
              <w:t>Rule</w:t>
            </w:r>
          </w:p>
        </w:tc>
        <w:tc>
          <w:tcPr>
            <w:tcW w:type="dxa" w:w="3456"/>
            <w:shd w:fill="1F4E79"/>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Pr>
                <w:color w:val="FFFFFF"/>
              </w:rPr>
            </w:r>
            <w:r>
              <w:rPr>
                <w:rFonts w:ascii="Arial" w:hAnsi="Arial"/>
                <w:b/>
                <w:color w:val="FFFFFF"/>
                <w:sz w:val="18"/>
              </w:rPr>
              <w:t>What to do</w:t>
            </w:r>
          </w:p>
        </w:tc>
        <w:tc>
          <w:tcPr>
            <w:tcW w:type="dxa" w:w="3456"/>
            <w:shd w:fill="1F4E79"/>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Pr>
                <w:color w:val="FFFFFF"/>
              </w:rPr>
            </w:r>
            <w:r>
              <w:rPr>
                <w:rFonts w:ascii="Arial" w:hAnsi="Arial"/>
                <w:b/>
                <w:color w:val="FFFFFF"/>
                <w:sz w:val="18"/>
              </w:rPr>
              <w:t>Why it matters</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Use the correct app</w:t>
            </w:r>
          </w:p>
        </w:tc>
        <w:tc>
          <w:tcPr>
            <w:tcW w:type="dxa" w:w="338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Mathews work uses the Mathews app. Prince George work uses the Prince George app.</w:t>
            </w:r>
          </w:p>
        </w:tc>
        <w:tc>
          <w:tcPr>
            <w:tcW w:type="dxa" w:w="40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The apps point to different counties and storage folders.</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Keep folders separate</w:t>
            </w:r>
          </w:p>
        </w:tc>
        <w:tc>
          <w:tcPr>
            <w:tcW w:type="dxa" w:w="338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Mathews files stay under MAVS\Mathews. Prince George files stay under MAVS\PrinceGeorge.</w:t>
            </w:r>
          </w:p>
        </w:tc>
        <w:tc>
          <w:tcPr>
            <w:tcW w:type="dxa" w:w="40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Mixing package files can make the app load the wrong county or wrong project.</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Check before working</w:t>
            </w:r>
          </w:p>
        </w:tc>
        <w:tc>
          <w:tcPr>
            <w:tcW w:type="dxa" w:w="338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Before opening parcels, check the app name, map county, and parcel count.</w:t>
            </w:r>
          </w:p>
        </w:tc>
        <w:tc>
          <w:tcPr>
            <w:tcW w:type="dxa" w:w="40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This catches project mixups before field work is saved.</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Sync before switching</w:t>
            </w:r>
          </w:p>
        </w:tc>
        <w:tc>
          <w:tcPr>
            <w:tcW w:type="dxa" w:w="338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Before moving from one county to another, sync all pending work in the current app.</w:t>
            </w:r>
          </w:p>
        </w:tc>
        <w:tc>
          <w:tcPr>
            <w:tcW w:type="dxa" w:w="40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It reduces the chance of stale local work or confusing status.</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Do not cross-copy files</w:t>
            </w:r>
          </w:p>
        </w:tc>
        <w:tc>
          <w:tcPr>
            <w:tcW w:type="dxa" w:w="338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Do not copy Mathews config, offline maps, or PDFs into Prince George, or the other way around.</w:t>
            </w:r>
          </w:p>
        </w:tc>
        <w:tc>
          <w:tcPr>
            <w:tcW w:type="dxa" w:w="40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The parcel package contains the live project id used for sync.</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Keep both folders</w:t>
            </w:r>
          </w:p>
        </w:tc>
        <w:tc>
          <w:tcPr>
            <w:tcW w:type="dxa" w:w="338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It is fine for both MAVS folders to exist on the same tablet.</w:t>
            </w:r>
          </w:p>
        </w:tc>
        <w:tc>
          <w:tcPr>
            <w:tcW w:type="dxa" w:w="40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The folder names are different and are intended to keep the projects separate.</w:t>
            </w:r>
          </w:p>
        </w:tc>
      </w:tr>
    </w:tbl>
    <w:p/>
    <w:p>
      <w:pPr>
        <w:pStyle w:val="Heading1"/>
      </w:pPr>
      <w:r>
        <w:rPr>
          <w:rFonts w:ascii="Arial" w:hAnsi="Arial"/>
          <w:color w:val="000000"/>
        </w:rPr>
        <w:t>Multiple Projects On One Computer</w:t>
      </w:r>
    </w:p>
    <w:p>
      <w:pPr>
        <w:spacing w:after="120"/>
      </w:pPr>
      <w:r>
        <w:rPr>
          <w:rFonts w:ascii="Arial" w:hAnsi="Arial"/>
          <w:sz w:val="20"/>
        </w:rPr>
        <w:t>Keep one permanent package folder per county and date. Do not reuse a generic folder named only MAVS unless it is inside a clearly named project package folder.</w:t>
      </w:r>
    </w:p>
    <w:p>
      <w:pPr>
        <w:pStyle w:val="ListBullet"/>
        <w:spacing w:after="40"/>
      </w:pPr>
      <w:r>
        <w:rPr>
          <w:rFonts w:ascii="Arial" w:hAnsi="Arial"/>
          <w:sz w:val="20"/>
        </w:rPr>
        <w:t>Good: C:\2027 prince george desk review\mavs fieldwork prep\tablet_package_prince_george_2026-10-09</w:t>
      </w:r>
    </w:p>
    <w:p>
      <w:pPr>
        <w:pStyle w:val="ListBullet"/>
        <w:spacing w:after="40"/>
      </w:pPr>
      <w:r>
        <w:rPr>
          <w:rFonts w:ascii="Arial" w:hAnsi="Arial"/>
          <w:sz w:val="20"/>
        </w:rPr>
        <w:t>Good: C:\mathews\tablet_package_mathews_live_2027</w:t>
      </w:r>
    </w:p>
    <w:p>
      <w:pPr>
        <w:pStyle w:val="ListBullet"/>
        <w:spacing w:after="40"/>
      </w:pPr>
      <w:r>
        <w:rPr>
          <w:rFonts w:ascii="Arial" w:hAnsi="Arial"/>
          <w:sz w:val="20"/>
        </w:rPr>
        <w:t>Avoid: one shared desktop folder that contains mixed Mathews and Prince George package files.</w:t>
      </w:r>
    </w:p>
    <w:p>
      <w:pPr>
        <w:spacing w:after="120"/>
      </w:pPr>
      <w:r>
        <w:rPr>
          <w:rFonts w:ascii="Arial" w:hAnsi="Arial"/>
          <w:sz w:val="20"/>
        </w:rPr>
        <w:t>When updating a tablet, copy from the county-specific package folder only. If the tablet already has unsynced work, do not overwrite its working folders unless Jason confirms that the work is synced or expendable.</w:t>
      </w:r>
    </w:p>
    <w:p>
      <w:pPr>
        <w:pStyle w:val="Heading1"/>
      </w:pPr>
      <w:r>
        <w:rPr>
          <w:rFonts w:ascii="Arial" w:hAnsi="Arial"/>
          <w:color w:val="000000"/>
        </w:rPr>
        <w:t>What Not To Delete</w:t>
      </w:r>
    </w:p>
    <w:p>
      <w:pPr>
        <w:pStyle w:val="ListBullet"/>
        <w:spacing w:after="40"/>
      </w:pPr>
      <w:r>
        <w:rPr>
          <w:rFonts w:ascii="Arial" w:hAnsi="Arial"/>
          <w:sz w:val="20"/>
        </w:rPr>
        <w:t>Do not delete MAVS\Mathews if the tablet still needs Mathews work.</w:t>
      </w:r>
    </w:p>
    <w:p>
      <w:pPr>
        <w:pStyle w:val="ListBullet"/>
        <w:spacing w:after="40"/>
      </w:pPr>
      <w:r>
        <w:rPr>
          <w:rFonts w:ascii="Arial" w:hAnsi="Arial"/>
          <w:sz w:val="20"/>
        </w:rPr>
        <w:t>Do not delete MAVS\PrinceGeorge\returned_work, drafts, photos, or any similar work folder after field work has started.</w:t>
      </w:r>
    </w:p>
    <w:p>
      <w:pPr>
        <w:pStyle w:val="ListBullet"/>
        <w:spacing w:after="40"/>
      </w:pPr>
      <w:r>
        <w:rPr>
          <w:rFonts w:ascii="Arial" w:hAnsi="Arial"/>
          <w:sz w:val="20"/>
        </w:rPr>
        <w:t>Do not delete or replace app data to fix a sync problem unless the pending work has been backed up or confirmed synced.</w:t>
      </w:r>
    </w:p>
    <w:p>
      <w:pPr>
        <w:pStyle w:val="ListBullet"/>
        <w:spacing w:after="40"/>
      </w:pPr>
      <w:r>
        <w:rPr>
          <w:rFonts w:ascii="Arial" w:hAnsi="Arial"/>
          <w:sz w:val="20"/>
        </w:rPr>
        <w:t>Do not reuse an old parcels-package.json from Mathews or another project.</w:t>
      </w:r>
    </w:p>
    <w:p>
      <w:pPr>
        <w:pStyle w:val="Heading1"/>
      </w:pPr>
      <w:r>
        <w:rPr>
          <w:rFonts w:ascii="Arial" w:hAnsi="Arial"/>
          <w:color w:val="000000"/>
        </w:rPr>
        <w:t>If Something Looks Wrong</w:t>
      </w:r>
    </w:p>
    <w:tbl>
      <w:tblPr>
        <w:tblW w:type="auto" w:w="0"/>
        <w:tblLayout w:type="fixed"/>
        <w:tblLook w:firstColumn="1" w:firstRow="1" w:lastColumn="0" w:lastRow="0" w:noHBand="0" w:noVBand="1" w:val="04A0"/>
      </w:tblPr>
      <w:tblGrid>
        <w:gridCol w:w="2232"/>
        <w:gridCol w:w="3384"/>
        <w:gridCol w:w="4032"/>
      </w:tblGrid>
      <w:tr>
        <w:tc>
          <w:tcPr>
            <w:tcW w:type="dxa" w:w="3456"/>
            <w:shd w:fill="1F4E79"/>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Pr>
                <w:color w:val="FFFFFF"/>
              </w:rPr>
            </w:r>
            <w:r>
              <w:rPr>
                <w:rFonts w:ascii="Arial" w:hAnsi="Arial"/>
                <w:b/>
                <w:color w:val="FFFFFF"/>
                <w:sz w:val="18"/>
              </w:rPr>
              <w:t>Symptom</w:t>
            </w:r>
          </w:p>
        </w:tc>
        <w:tc>
          <w:tcPr>
            <w:tcW w:type="dxa" w:w="3456"/>
            <w:shd w:fill="1F4E79"/>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Pr>
                <w:color w:val="FFFFFF"/>
              </w:rPr>
            </w:r>
            <w:r>
              <w:rPr>
                <w:rFonts w:ascii="Arial" w:hAnsi="Arial"/>
                <w:b/>
                <w:color w:val="FFFFFF"/>
                <w:sz w:val="18"/>
              </w:rPr>
              <w:t>First check</w:t>
            </w:r>
          </w:p>
        </w:tc>
        <w:tc>
          <w:tcPr>
            <w:tcW w:type="dxa" w:w="3456"/>
            <w:shd w:fill="1F4E79"/>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Pr>
                <w:color w:val="FFFFFF"/>
              </w:rPr>
            </w:r>
            <w:r>
              <w:rPr>
                <w:rFonts w:ascii="Arial" w:hAnsi="Arial"/>
                <w:b/>
                <w:color w:val="FFFFFF"/>
                <w:sz w:val="18"/>
              </w:rPr>
              <w:t>Do not do yet</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Wrong county opens</w:t>
            </w:r>
          </w:p>
        </w:tc>
        <w:tc>
          <w:tcPr>
            <w:tcW w:type="dxa" w:w="338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Confirm the correct app icon was opened and the package folder is under the matching county name.</w:t>
            </w:r>
          </w:p>
        </w:tc>
        <w:tc>
          <w:tcPr>
            <w:tcW w:type="dxa" w:w="40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Do not start parcel work.</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No parcels show</w:t>
            </w:r>
          </w:p>
        </w:tc>
        <w:tc>
          <w:tcPr>
            <w:tcW w:type="dxa" w:w="338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Confirm config\parcels-package.json exists under Internal storage\MAVS\PrinceGeorge.</w:t>
            </w:r>
          </w:p>
        </w:tc>
        <w:tc>
          <w:tcPr>
            <w:tcW w:type="dxa" w:w="40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Do not reinstall before checking the folder.</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No aerials offline</w:t>
            </w:r>
          </w:p>
        </w:tc>
        <w:tc>
          <w:tcPr>
            <w:tcW w:type="dxa" w:w="338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Confirm offline\manifest.json and the MBTiles file are both present.</w:t>
            </w:r>
          </w:p>
        </w:tc>
        <w:tc>
          <w:tcPr>
            <w:tcW w:type="dxa" w:w="40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Do not create a new tile job.</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PDF missing for one parcel</w:t>
            </w:r>
          </w:p>
        </w:tc>
        <w:tc>
          <w:tcPr>
            <w:tcW w:type="dxa" w:w="338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Check whether that parcel is one of the known unmatched PDFs.</w:t>
            </w:r>
          </w:p>
        </w:tc>
        <w:tc>
          <w:tcPr>
            <w:tcW w:type="dxa" w:w="40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Do not reload all PDFs for one missing card.</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Sync fails</w:t>
            </w:r>
          </w:p>
        </w:tc>
        <w:tc>
          <w:tcPr>
            <w:tcW w:type="dxa" w:w="338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Photograph or screenshot the sync error and keep the tablet unchanged.</w:t>
            </w:r>
          </w:p>
        </w:tc>
        <w:tc>
          <w:tcPr>
            <w:tcW w:type="dxa" w:w="40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pPr>
            <w:r/>
            <w:r>
              <w:rPr>
                <w:rFonts w:ascii="Arial" w:hAnsi="Arial"/>
                <w:b w:val="0"/>
                <w:color w:val="000000"/>
                <w:sz w:val="18"/>
              </w:rPr>
              <w:t>Do not delete app data or package folders.</w:t>
            </w:r>
          </w:p>
        </w:tc>
      </w:tr>
    </w:tbl>
    <w:p/>
    <w:p>
      <w:pPr>
        <w:pStyle w:val="Heading1"/>
      </w:pPr>
      <w:r>
        <w:rPr>
          <w:rFonts w:ascii="Arial" w:hAnsi="Arial"/>
          <w:color w:val="000000"/>
        </w:rPr>
        <w:t>Ready To Rollout</w:t>
      </w:r>
    </w:p>
    <w:p>
      <w:pPr>
        <w:spacing w:after="120"/>
      </w:pPr>
      <w:r>
        <w:rPr>
          <w:rFonts w:ascii="Arial" w:hAnsi="Arial"/>
          <w:sz w:val="20"/>
        </w:rPr>
        <w:t>After the first tablet passes the smoke test, repeat the same install and folder copy on the remaining tablets. Use the same checklist on each tablet and keep the tested package folder unchanged as the source of truth.</w:t>
      </w:r>
    </w:p>
    <w:p>
      <w:pPr>
        <w:spacing w:after="40"/>
        <w:ind w:left="216"/>
      </w:pPr>
      <w:r>
        <w:rPr>
          <w:rFonts w:ascii="Arial" w:hAnsi="Arial"/>
          <w:sz w:val="20"/>
        </w:rPr>
        <w:t>[ ] Tablet 1 tested and passed.</w:t>
      </w:r>
    </w:p>
    <w:p>
      <w:pPr>
        <w:spacing w:after="40"/>
        <w:ind w:left="216"/>
      </w:pPr>
      <w:r>
        <w:rPr>
          <w:rFonts w:ascii="Arial" w:hAnsi="Arial"/>
          <w:sz w:val="20"/>
        </w:rPr>
        <w:t>[ ] Tablet 2 copied and tested.</w:t>
      </w:r>
    </w:p>
    <w:p>
      <w:pPr>
        <w:spacing w:after="40"/>
        <w:ind w:left="216"/>
      </w:pPr>
      <w:r>
        <w:rPr>
          <w:rFonts w:ascii="Arial" w:hAnsi="Arial"/>
          <w:sz w:val="20"/>
        </w:rPr>
        <w:t>[ ] Tablet 3 copied and tested.</w:t>
      </w:r>
    </w:p>
    <w:p>
      <w:pPr>
        <w:spacing w:after="40"/>
        <w:ind w:left="216"/>
      </w:pPr>
      <w:r>
        <w:rPr>
          <w:rFonts w:ascii="Arial" w:hAnsi="Arial"/>
          <w:sz w:val="20"/>
        </w:rPr>
        <w:t>[ ] Tablet 4 copied and tested.</w:t>
      </w:r>
    </w:p>
    <w:p>
      <w:pPr>
        <w:spacing w:after="40"/>
        <w:ind w:left="216"/>
      </w:pPr>
      <w:r>
        <w:rPr>
          <w:rFonts w:ascii="Arial" w:hAnsi="Arial"/>
          <w:sz w:val="20"/>
        </w:rPr>
        <w:t>[ ] All techs can sign in before field work.</w:t>
      </w:r>
    </w:p>
    <w:p>
      <w:pPr>
        <w:spacing w:after="40"/>
        <w:ind w:left="216"/>
      </w:pPr>
      <w:r>
        <w:rPr>
          <w:rFonts w:ascii="Arial" w:hAnsi="Arial"/>
          <w:sz w:val="20"/>
        </w:rPr>
        <w:t>[ ] All techs know which county app to open.</w:t>
      </w:r>
    </w:p>
    <w:sectPr w:rsidR="00FC693F" w:rsidRPr="0006063C" w:rsidSect="00034616">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